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Для чего необходима медицинская справка для участия школьников в олимпиаде в олимпиаде по предмету  «Физическая культура»?</w:t>
      </w:r>
    </w:p>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Согласно требованиям следующих нормативно-правовых документов: </w:t>
      </w:r>
    </w:p>
    <w:p w:rsidR="00000000" w:rsidDel="00000000" w:rsidP="00000000" w:rsidRDefault="00000000" w:rsidRPr="00000000">
      <w:pPr>
        <w:pStyle w:val="Heading1"/>
        <w:numPr>
          <w:ilvl w:val="0"/>
          <w:numId w:val="1"/>
        </w:numPr>
        <w:pBdr/>
        <w:shd w:fill="ffffff" w:val="clear"/>
        <w:spacing w:after="0" w:before="0" w:lineRule="auto"/>
        <w:ind w:left="0" w:firstLine="709"/>
        <w:jc w:val="both"/>
        <w:rPr>
          <w:b w:val="0"/>
          <w:color w:val="000000"/>
          <w:sz w:val="28"/>
          <w:szCs w:val="28"/>
        </w:rPr>
      </w:pPr>
      <w:r w:rsidDel="00000000" w:rsidR="00000000" w:rsidRPr="00000000">
        <w:rPr>
          <w:b w:val="0"/>
          <w:color w:val="000000"/>
          <w:sz w:val="28"/>
          <w:szCs w:val="28"/>
          <w:rtl w:val="0"/>
        </w:rPr>
        <w:t xml:space="preserve">Федеральный закон «О физической культуре и спорте в Российской Федерации» от 04.12.2007 N 329-ФЗ (последняя редакция)</w:t>
      </w:r>
    </w:p>
    <w:p w:rsidR="00000000" w:rsidDel="00000000" w:rsidP="00000000" w:rsidRDefault="00000000" w:rsidRPr="00000000">
      <w:pPr>
        <w:pStyle w:val="Heading1"/>
        <w:numPr>
          <w:ilvl w:val="0"/>
          <w:numId w:val="1"/>
        </w:numPr>
        <w:pBdr/>
        <w:shd w:fill="ffffff" w:val="clear"/>
        <w:spacing w:after="0" w:before="0" w:lineRule="auto"/>
        <w:ind w:left="0" w:firstLine="709"/>
        <w:jc w:val="both"/>
        <w:rPr>
          <w:b w:val="0"/>
          <w:color w:val="000000"/>
          <w:sz w:val="28"/>
          <w:szCs w:val="28"/>
        </w:rPr>
      </w:pPr>
      <w:r w:rsidDel="00000000" w:rsidR="00000000" w:rsidRPr="00000000">
        <w:rPr>
          <w:b w:val="0"/>
          <w:color w:val="000000"/>
          <w:sz w:val="28"/>
          <w:szCs w:val="28"/>
          <w:rtl w:val="0"/>
        </w:rPr>
        <w:t xml:space="preserve">Федеральный закон от 21.11.2011 N 323-ФЗ (ред. от 29.05.2019) "Об основах охраны здоровья граждан в Российской Федерации"</w:t>
      </w:r>
    </w:p>
    <w:p w:rsidR="00000000" w:rsidDel="00000000" w:rsidP="00000000" w:rsidRDefault="00000000" w:rsidRPr="00000000">
      <w:pPr>
        <w:keepNext w:val="0"/>
        <w:keepLines w:val="0"/>
        <w:widowControl w:val="0"/>
        <w:numPr>
          <w:ilvl w:val="0"/>
          <w:numId w:val="1"/>
        </w:numPr>
        <w:pBdr/>
        <w:spacing w:after="0" w:before="0" w:line="276" w:lineRule="auto"/>
        <w:ind w:left="0" w:right="0" w:firstLine="709"/>
        <w:jc w:val="both"/>
        <w:rPr>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Приказ Минздрава России от 30.12.2003 №621</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76" w:lineRule="auto"/>
        <w:ind w:left="0" w:right="0" w:firstLine="709"/>
        <w:jc w:val="both"/>
        <w:rPr>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Приказ МЗ РФ №441н от2.05.2012 г.</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276" w:lineRule="auto"/>
        <w:ind w:left="0" w:right="0" w:firstLine="709"/>
        <w:jc w:val="both"/>
        <w:rPr>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Приказ Минздрава 01.03.2016 №134Н</w:t>
      </w:r>
    </w:p>
    <w:p w:rsidR="00000000" w:rsidDel="00000000" w:rsidP="00000000" w:rsidRDefault="00000000" w:rsidRPr="00000000">
      <w:pPr>
        <w:keepNext w:val="0"/>
        <w:keepLines w:val="0"/>
        <w:widowControl w:val="0"/>
        <w:numPr>
          <w:ilvl w:val="0"/>
          <w:numId w:val="1"/>
        </w:numPr>
        <w:pBdr/>
        <w:spacing w:after="0" w:before="0" w:line="276" w:lineRule="auto"/>
        <w:ind w:left="0" w:right="0" w:firstLine="709"/>
        <w:jc w:val="both"/>
        <w:rPr>
          <w:b w:val="0"/>
          <w:i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СаНПиН 2.4.2.2821-10 (с изм. на 22 мая 2019 года), п.10.23</w:t>
      </w:r>
    </w:p>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к участию в олимпиаде по физической культуре, также как и к занятиям физической культурой на уроках в школе в полном объеме, допускается любой ребенок прошедший медицинский осмотр и имеющий основную (I или II) группу здоровья. Наличие медицинской справки по установленной форме   указано в Положении о проведении каждого этапа всероссийской олимпиады школьников по учебному предмету «Физическая культура», вместе с обязательным наличием страхового медицинского полиса и медицинской справки  </w:t>
      </w:r>
      <w:r w:rsidDel="00000000" w:rsidR="00000000" w:rsidRPr="00000000">
        <w:rPr>
          <w:rFonts w:ascii="Times New Roman" w:cs="Times New Roman" w:eastAsia="Times New Roman" w:hAnsi="Times New Roman"/>
          <w:color w:val="000000"/>
          <w:sz w:val="28"/>
          <w:szCs w:val="28"/>
          <w:highlight w:val="white"/>
          <w:rtl w:val="0"/>
        </w:rPr>
        <w:t xml:space="preserve">об отсутствии контакта с больными инфекционными заболеваниями.</w:t>
      </w:r>
      <w:r w:rsidDel="00000000" w:rsidR="00000000" w:rsidRPr="00000000">
        <w:rPr>
          <w:rtl w:val="0"/>
        </w:rPr>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Предоставляется копия и оригинал медицинского заключения. Копия остается у организаторов, оригинал нужен для подтверждения подлинности документа.</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Порядок организации оказания медицинской помощи утверждён Приказом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(далее – Приказ № 134н).</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Согласно п. 1 Приказа № 134н, он регулирует вопросы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осуществляющих спортивную подготовку, иных организациях для занятий физической культурой и спортом и (или) выполнить нормативы испытаний (тестов) Всероссийского физкультурно-спортивного комплекса «Готов к труду и обороне».</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Таким образом, Приказ № 134н устанавливает порядок, условия и стандарты оказания медицинской помощи лицам, занимающимся физической культурой и спортом, в том числе принимающим участие в физкультурных и спортивных мероприятиях, и распространяет свое действие на всех лиц, в обязанности которых непосредственно входит организация оказания такой медицинской помощи, – на организаторов физкультурных мероприятий и спортивных соревнований, а также на врачей и медицинские организации.</w:t>
      </w:r>
      <w:r w:rsidDel="00000000" w:rsidR="00000000" w:rsidRPr="00000000">
        <w:rPr>
          <w:rtl w:val="0"/>
        </w:rPr>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Порядок медицинского осмотра определён Приложением № 1 к Приказу № 134н. В п. 4 говорится о том, что медицинский осмотр лица, желающего пройти спортивную подготовку, желающего заниматься спортом в организациях, осуществляющих спортивную подготовку, иных организациях для занятий спортом, проводится по программам углублённых медицинских обследований и в сроки согласно приложению № 2 к Приказу № 134н.</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Медицинский осмотр лица, желающего заниматься физической культурой в организациях и (или) выполнить нормативы испытаний (тестов) комплекса ГТО, проводится на основании результатов диспансеризации или профилактического медицинского осмотра.</w:t>
      </w:r>
    </w:p>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Распределение детей по группам здоровья делает врач-педиатр на основании медосмотра в каждой школе на начало учебного года с необходимой коррекцией в течение учебного года. Приказ Минздрава России от 30.12.2003 №621. По результатам проведённого медицинского осмотра определяется принадлежность к функциональной группе: </w:t>
      </w:r>
    </w:p>
    <w:p w:rsidR="00000000" w:rsidDel="00000000" w:rsidP="00000000" w:rsidRDefault="00000000" w:rsidRPr="00000000">
      <w:pPr>
        <w:pBdr/>
        <w:spacing w:after="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группа – возможны занятия физической культурой (в том числе в организациях), участие в массовых спортивных соревнованиях, занятия спортом на спортивно-оздоровительном этапе спортивной подготовки без ограничений. Первая группа здоровья разрешает участие ребенка в соревнованиях и иных спортивных мероприятиях. Врач дает медицинскую справку на участие во всех соревнованиях и спортивных мероприятиях на основании пройденного медосмотра  СаНПиН 2.4.2.2821-10 (с изм. на 22 мая 2019 года) Пункт 10.23;</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группа – возможны занятия физической культурой (в том числе в организациях), занятия спортом на спортивно-оздоровительном этапе спортивной подготовки с незначительными ограничениями физических нагрузок без участия в массовых спортивных соревнованиях; </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группа – возможны только занятия физической культурой (в том числе в организациях) со значительными ограничениями физических нагрузок;</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группа – возможны только занятия лечебной физической культурой      Организаторы массовых спортивных мероприятий должны следовать действующему законодательству Российской Федерации: пунктами 3 и 4 статьи 39 Федерального закона «О физической культуре и спорте» предусмотрено, что организаторы физкультурных и спортивных мероприятий обязаны осуществлять обеспечение медицинской помощью их участников.</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Организаторы физкультурных мероприятий и спортивных соревнований обязаны проверять наличие медицинского заключения (справки) в качестве допуска к спортивным соревнованиям. Никакой пункт никакого другого индивидуального соглашения между участником и организатором не может отменить эту обязанность. Данное положение в полной мере касается организаторов и участников всероссийской олимпиады по учебному предмету «Физическая культура».  Организаторы требуют медицинскую справку прежде всего для того, чтобы пресечь участие лиц, имеющих медицинские противопоказания, и, как следствие, исключить несчастные случаи на мероприятиях.</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Несоблюдение законов даёт государственным органам право запретить проведение массовых спортивных мероприятий, а также привлекать организаторов к уголовной ответственности.</w:t>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bookmarkStart w:colFirst="0" w:colLast="0" w:name="_gjdgxs" w:id="0"/>
      <w:bookmarkEnd w:id="0"/>
      <w:r w:rsidDel="00000000" w:rsidR="00000000" w:rsidRPr="00000000">
        <w:rPr>
          <w:rtl w:val="0"/>
        </w:rPr>
      </w:r>
    </w:p>
    <w:p w:rsidR="00000000" w:rsidDel="00000000" w:rsidP="00000000" w:rsidRDefault="00000000" w:rsidRPr="00000000">
      <w:pPr>
        <w:pBdr/>
        <w:spacing w:after="0" w:line="240" w:lineRule="auto"/>
        <w:ind w:firstLine="709"/>
        <w:contextualSpacing w:val="0"/>
        <w:jc w:val="both"/>
        <w:rPr>
          <w:rFonts w:ascii="Times New Roman" w:cs="Times New Roman" w:eastAsia="Times New Roman" w:hAnsi="Times New Roman"/>
          <w:color w:val="000000"/>
          <w:sz w:val="28"/>
          <w:szCs w:val="28"/>
        </w:rPr>
      </w:pPr>
      <w:r w:rsidDel="00000000" w:rsidR="00000000" w:rsidRPr="00000000">
        <w:rPr>
          <w:rtl w:val="0"/>
        </w:rPr>
      </w:r>
    </w:p>
    <w:sectPr>
      <w:pgSz w:h="16838" w:w="11906"/>
      <w:pgMar w:bottom="1134" w:top="1134" w:left="1134" w:right="85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a" w:default="1">
    <w:name w:val="Normal"/>
    <w:qFormat w:val="1"/>
  </w:style>
  <w:style w:type="paragraph" w:styleId="1">
    <w:name w:val="heading 1"/>
    <w:basedOn w:val="a"/>
    <w:link w:val="10"/>
    <w:uiPriority w:val="9"/>
    <w:qFormat w:val="1"/>
    <w:rsid w:val="009842D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9842D6"/>
    <w:pPr>
      <w:ind w:left="720"/>
      <w:contextualSpacing w:val="1"/>
    </w:pPr>
  </w:style>
  <w:style w:type="character" w:styleId="10" w:customStyle="1">
    <w:name w:val="Заголовок 1 Знак"/>
    <w:basedOn w:val="a0"/>
    <w:link w:val="1"/>
    <w:uiPriority w:val="9"/>
    <w:rsid w:val="009842D6"/>
    <w:rPr>
      <w:rFonts w:ascii="Times New Roman" w:cs="Times New Roman" w:eastAsia="Times New Roman" w:hAnsi="Times New Roman"/>
      <w:b w:val="1"/>
      <w:bCs w:val="1"/>
      <w:kern w:val="36"/>
      <w:sz w:val="48"/>
      <w:szCs w:val="48"/>
      <w:lang w:eastAsia="ru-RU"/>
    </w:rPr>
  </w:style>
  <w:style w:type="paragraph" w:styleId="a4">
    <w:name w:val="Body Text"/>
    <w:basedOn w:val="a"/>
    <w:link w:val="a5"/>
    <w:uiPriority w:val="1"/>
    <w:qFormat w:val="1"/>
    <w:rsid w:val="008D2E1E"/>
    <w:pPr>
      <w:widowControl w:val="0"/>
      <w:autoSpaceDE w:val="0"/>
      <w:autoSpaceDN w:val="0"/>
      <w:spacing w:after="0" w:line="240" w:lineRule="auto"/>
    </w:pPr>
    <w:rPr>
      <w:rFonts w:ascii="Times New Roman" w:cs="Times New Roman" w:eastAsia="Times New Roman" w:hAnsi="Times New Roman"/>
      <w:sz w:val="24"/>
      <w:szCs w:val="24"/>
      <w:lang w:val="en-US"/>
    </w:rPr>
  </w:style>
  <w:style w:type="character" w:styleId="a5" w:customStyle="1">
    <w:name w:val="Основной текст Знак"/>
    <w:basedOn w:val="a0"/>
    <w:link w:val="a4"/>
    <w:uiPriority w:val="1"/>
    <w:rsid w:val="008D2E1E"/>
    <w:rPr>
      <w:rFonts w:ascii="Times New Roman" w:cs="Times New Roman" w:eastAsia="Times New Roman" w:hAnsi="Times New Roman"/>
      <w:sz w:val="24"/>
      <w:szCs w:val="24"/>
      <w:lang w:val="en-US"/>
    </w:rPr>
  </w:style>
  <w:style w:type="paragraph" w:styleId="a6">
    <w:name w:val="Balloon Text"/>
    <w:basedOn w:val="a"/>
    <w:link w:val="a7"/>
    <w:uiPriority w:val="99"/>
    <w:semiHidden w:val="1"/>
    <w:unhideWhenUsed w:val="1"/>
    <w:rsid w:val="008D2E1E"/>
    <w:pPr>
      <w:spacing w:after="0" w:line="240" w:lineRule="auto"/>
    </w:pPr>
    <w:rPr>
      <w:rFonts w:ascii="Tahoma" w:cs="Tahoma" w:hAnsi="Tahoma"/>
      <w:sz w:val="16"/>
      <w:szCs w:val="16"/>
    </w:rPr>
  </w:style>
  <w:style w:type="character" w:styleId="a7" w:customStyle="1">
    <w:name w:val="Текст выноски Знак"/>
    <w:basedOn w:val="a0"/>
    <w:link w:val="a6"/>
    <w:uiPriority w:val="99"/>
    <w:semiHidden w:val="1"/>
    <w:rsid w:val="008D2E1E"/>
    <w:rPr>
      <w:rFonts w:ascii="Tahoma" w:cs="Tahoma" w:hAnsi="Tahoma"/>
      <w:sz w:val="16"/>
      <w:szCs w:val="16"/>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